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0C2C" w14:textId="77777777" w:rsidR="00F67536" w:rsidRDefault="005B3510">
      <w:pPr>
        <w:spacing w:before="240" w:after="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Technician for Sustainable Food Industry – EQF level 5</w:t>
      </w:r>
    </w:p>
    <w:p w14:paraId="7DE6DB28" w14:textId="77777777" w:rsidR="00F67536" w:rsidRDefault="00F67536">
      <w:pPr>
        <w:spacing w:after="16"/>
        <w:jc w:val="both"/>
        <w:rPr>
          <w:i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7110"/>
      </w:tblGrid>
      <w:tr w:rsidR="00F67536" w14:paraId="7074DCD0" w14:textId="77777777" w:rsidTr="00E0228B">
        <w:tc>
          <w:tcPr>
            <w:tcW w:w="1950" w:type="dxa"/>
            <w:shd w:val="clear" w:color="auto" w:fill="auto"/>
            <w:vAlign w:val="center"/>
          </w:tcPr>
          <w:p w14:paraId="1C72924F" w14:textId="77777777" w:rsidR="00F67536" w:rsidRDefault="005B351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Code</w:t>
            </w:r>
          </w:p>
        </w:tc>
        <w:tc>
          <w:tcPr>
            <w:tcW w:w="7110" w:type="dxa"/>
            <w:shd w:val="clear" w:color="auto" w:fill="auto"/>
          </w:tcPr>
          <w:p w14:paraId="72638F14" w14:textId="77777777" w:rsidR="00F67536" w:rsidRDefault="005B3510">
            <w:pPr>
              <w:spacing w:after="16"/>
              <w:jc w:val="both"/>
              <w:rPr>
                <w:b/>
                <w:sz w:val="28"/>
                <w:szCs w:val="28"/>
              </w:rPr>
            </w:pPr>
            <w:r>
              <w:t>Later defined by ESCO</w:t>
            </w:r>
          </w:p>
        </w:tc>
      </w:tr>
      <w:tr w:rsidR="00F67536" w14:paraId="765D0514" w14:textId="77777777" w:rsidTr="00E0228B">
        <w:tc>
          <w:tcPr>
            <w:tcW w:w="1950" w:type="dxa"/>
            <w:shd w:val="clear" w:color="auto" w:fill="auto"/>
            <w:vAlign w:val="center"/>
          </w:tcPr>
          <w:p w14:paraId="4E47FCCA" w14:textId="77777777" w:rsidR="00F67536" w:rsidRDefault="005B351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7110" w:type="dxa"/>
            <w:shd w:val="clear" w:color="auto" w:fill="auto"/>
          </w:tcPr>
          <w:p w14:paraId="3AB9BA82" w14:textId="270AD393" w:rsidR="00F67536" w:rsidRDefault="005B3510">
            <w:pPr>
              <w:spacing w:after="16"/>
              <w:jc w:val="both"/>
            </w:pPr>
            <w:r>
              <w:t xml:space="preserve">The </w:t>
            </w:r>
            <w:r>
              <w:rPr>
                <w:b/>
              </w:rPr>
              <w:t xml:space="preserve">Technician for Sustainable Food industry </w:t>
            </w:r>
            <w:r>
              <w:t xml:space="preserve">performs technical tasks to support the implementation and supervision of sustainability requirements in the production, management and </w:t>
            </w:r>
            <w:r w:rsidR="00E0228B">
              <w:t>business activities</w:t>
            </w:r>
            <w:r>
              <w:t xml:space="preserve"> of a food company.</w:t>
            </w:r>
          </w:p>
          <w:p w14:paraId="0234E100" w14:textId="1B2CD529" w:rsidR="00F67536" w:rsidRDefault="005B3510">
            <w:pPr>
              <w:spacing w:after="16"/>
              <w:jc w:val="both"/>
            </w:pPr>
            <w:r>
              <w:t xml:space="preserve">These tasks usually include: developing possibilities for the company according </w:t>
            </w:r>
            <w:r>
              <w:t>to the territorial - productive context of reference, the operational organization, the implementation of continuous improvement procedures, the monitoring and evaluation of the results, purchase of sustainable raw materials, monitoring the efficient use o</w:t>
            </w:r>
            <w:r>
              <w:t>r resources, sustainable product development and packaging, waste management, implementation and monitoring of continuous improvement procedures, sustainable marketing chains, administrative tasks and supervision of activities carried out by others. Has te</w:t>
            </w:r>
            <w:r>
              <w:t>chnical training in the use of methodologies, tools and specialized information</w:t>
            </w:r>
            <w:r w:rsidR="00E0228B">
              <w:t>.</w:t>
            </w:r>
            <w:r>
              <w:t xml:space="preserve"> </w:t>
            </w:r>
            <w:r>
              <w:t>Also</w:t>
            </w:r>
            <w:r>
              <w:t xml:space="preserve"> deals with all support activities for the planning, organization and monitoring of the work and evaluation phases of the product process.</w:t>
            </w:r>
          </w:p>
          <w:p w14:paraId="41A87353" w14:textId="77777777" w:rsidR="00F67536" w:rsidRDefault="00F67536">
            <w:pPr>
              <w:spacing w:after="16"/>
              <w:jc w:val="both"/>
            </w:pPr>
          </w:p>
        </w:tc>
      </w:tr>
      <w:tr w:rsidR="00F67536" w14:paraId="76AFEC7E" w14:textId="77777777" w:rsidTr="00E0228B">
        <w:tc>
          <w:tcPr>
            <w:tcW w:w="1950" w:type="dxa"/>
            <w:shd w:val="clear" w:color="auto" w:fill="auto"/>
            <w:vAlign w:val="center"/>
          </w:tcPr>
          <w:p w14:paraId="6998BD82" w14:textId="77777777" w:rsidR="00F67536" w:rsidRDefault="005B351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Alternative label</w:t>
            </w:r>
          </w:p>
        </w:tc>
        <w:tc>
          <w:tcPr>
            <w:tcW w:w="7110" w:type="dxa"/>
            <w:shd w:val="clear" w:color="auto" w:fill="auto"/>
          </w:tcPr>
          <w:p w14:paraId="23AB1E23" w14:textId="77777777" w:rsidR="00F67536" w:rsidRDefault="005B3510">
            <w:pPr>
              <w:spacing w:after="16"/>
              <w:jc w:val="both"/>
              <w:rPr>
                <w:b/>
                <w:sz w:val="28"/>
                <w:szCs w:val="28"/>
              </w:rPr>
            </w:pPr>
            <w:r>
              <w:t>Later define</w:t>
            </w:r>
            <w:r>
              <w:t>d by ESCO</w:t>
            </w:r>
          </w:p>
        </w:tc>
      </w:tr>
      <w:tr w:rsidR="00F67536" w14:paraId="02B18362" w14:textId="77777777" w:rsidTr="00E0228B">
        <w:tc>
          <w:tcPr>
            <w:tcW w:w="1950" w:type="dxa"/>
            <w:shd w:val="clear" w:color="auto" w:fill="auto"/>
            <w:vAlign w:val="center"/>
          </w:tcPr>
          <w:p w14:paraId="56109E6D" w14:textId="77777777" w:rsidR="00F67536" w:rsidRDefault="005B351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Regulatory Framework</w:t>
            </w:r>
          </w:p>
        </w:tc>
        <w:tc>
          <w:tcPr>
            <w:tcW w:w="7110" w:type="dxa"/>
            <w:shd w:val="clear" w:color="auto" w:fill="auto"/>
          </w:tcPr>
          <w:p w14:paraId="569A90CA" w14:textId="77777777" w:rsidR="00F67536" w:rsidRDefault="005B3510">
            <w:pPr>
              <w:spacing w:after="16"/>
              <w:jc w:val="both"/>
              <w:rPr>
                <w:sz w:val="28"/>
                <w:szCs w:val="28"/>
              </w:rPr>
            </w:pPr>
            <w:r>
              <w:t>Later defined by ESCO</w:t>
            </w:r>
          </w:p>
        </w:tc>
      </w:tr>
      <w:tr w:rsidR="00F67536" w14:paraId="51B44D56" w14:textId="77777777" w:rsidTr="00E0228B">
        <w:tc>
          <w:tcPr>
            <w:tcW w:w="1950" w:type="dxa"/>
            <w:shd w:val="clear" w:color="auto" w:fill="auto"/>
            <w:vAlign w:val="center"/>
          </w:tcPr>
          <w:p w14:paraId="6F09EC96" w14:textId="77777777" w:rsidR="00F67536" w:rsidRDefault="005B351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Hierarchy</w:t>
            </w:r>
          </w:p>
        </w:tc>
        <w:tc>
          <w:tcPr>
            <w:tcW w:w="7110" w:type="dxa"/>
            <w:shd w:val="clear" w:color="auto" w:fill="auto"/>
          </w:tcPr>
          <w:p w14:paraId="6AC63A37" w14:textId="77777777" w:rsidR="00F67536" w:rsidRDefault="005B3510">
            <w:pPr>
              <w:spacing w:after="16"/>
              <w:jc w:val="both"/>
              <w:rPr>
                <w:sz w:val="28"/>
                <w:szCs w:val="28"/>
              </w:rPr>
            </w:pPr>
            <w:r>
              <w:t>Later defined by ESCO</w:t>
            </w:r>
          </w:p>
        </w:tc>
      </w:tr>
      <w:tr w:rsidR="00F67536" w14:paraId="090706B5" w14:textId="77777777" w:rsidTr="00E0228B">
        <w:tc>
          <w:tcPr>
            <w:tcW w:w="1950" w:type="dxa"/>
            <w:shd w:val="clear" w:color="auto" w:fill="auto"/>
            <w:vAlign w:val="center"/>
          </w:tcPr>
          <w:p w14:paraId="0D07B1BD" w14:textId="77777777" w:rsidR="00F67536" w:rsidRDefault="005B351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More specific professions</w:t>
            </w:r>
          </w:p>
        </w:tc>
        <w:tc>
          <w:tcPr>
            <w:tcW w:w="7110" w:type="dxa"/>
            <w:shd w:val="clear" w:color="auto" w:fill="auto"/>
          </w:tcPr>
          <w:p w14:paraId="7B3A5CCC" w14:textId="77777777" w:rsidR="00F67536" w:rsidRDefault="005B3510">
            <w:pPr>
              <w:spacing w:after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Technician for Agri-food industry and digitalization</w:t>
            </w:r>
          </w:p>
        </w:tc>
      </w:tr>
      <w:tr w:rsidR="00F67536" w14:paraId="6DF55B98" w14:textId="77777777" w:rsidTr="00E0228B">
        <w:tc>
          <w:tcPr>
            <w:tcW w:w="1950" w:type="dxa"/>
            <w:shd w:val="clear" w:color="auto" w:fill="auto"/>
            <w:vAlign w:val="center"/>
          </w:tcPr>
          <w:p w14:paraId="6D990653" w14:textId="77777777" w:rsidR="00F67536" w:rsidRDefault="005B3510">
            <w:pPr>
              <w:keepLines/>
              <w:spacing w:after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Essential skills</w:t>
            </w:r>
          </w:p>
        </w:tc>
        <w:tc>
          <w:tcPr>
            <w:tcW w:w="7110" w:type="dxa"/>
            <w:shd w:val="clear" w:color="auto" w:fill="auto"/>
          </w:tcPr>
          <w:p w14:paraId="22947D50" w14:textId="77777777" w:rsidR="00F67536" w:rsidRDefault="005B3510">
            <w:pPr>
              <w:keepLines/>
              <w:spacing w:after="20"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the core curriculum (Module Soft-skills and Entrepreneurship):</w:t>
            </w:r>
          </w:p>
          <w:p w14:paraId="359833EA" w14:textId="77777777" w:rsidR="00F67536" w:rsidRDefault="005B3510">
            <w:pPr>
              <w:keepLines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 skills;</w:t>
            </w:r>
          </w:p>
          <w:p w14:paraId="2B0C6749" w14:textId="77777777" w:rsidR="00F67536" w:rsidRDefault="005B3510">
            <w:pPr>
              <w:keepLines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ICT Essentials: core digital skills </w:t>
            </w:r>
          </w:p>
          <w:p w14:paraId="15E315BE" w14:textId="77777777" w:rsidR="00F67536" w:rsidRDefault="005B3510">
            <w:pPr>
              <w:keepLines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safety: Safety of workers and health, Health and safety management</w:t>
            </w:r>
          </w:p>
          <w:p w14:paraId="43C5D2AB" w14:textId="77777777" w:rsidR="00F67536" w:rsidRDefault="00F67536">
            <w:pPr>
              <w:keepLines/>
              <w:jc w:val="both"/>
              <w:rPr>
                <w:sz w:val="24"/>
                <w:szCs w:val="24"/>
              </w:rPr>
            </w:pPr>
          </w:p>
          <w:p w14:paraId="172FD040" w14:textId="77777777" w:rsidR="00F67536" w:rsidRDefault="005B3510">
            <w:pPr>
              <w:spacing w:after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Efficient use of resources. Water treatment and reuse</w:t>
            </w:r>
          </w:p>
          <w:p w14:paraId="2054F0D5" w14:textId="77777777" w:rsidR="00F67536" w:rsidRDefault="005B3510">
            <w:pPr>
              <w:spacing w:after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Waste prevention and valorisation of by-products </w:t>
            </w:r>
          </w:p>
          <w:p w14:paraId="75A7DD17" w14:textId="77777777" w:rsidR="00F67536" w:rsidRDefault="005B3510">
            <w:pPr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efficiency (Generation, Storage and use of renewable Energies)</w:t>
            </w:r>
          </w:p>
          <w:p w14:paraId="43D9A0A9" w14:textId="77777777" w:rsidR="00F67536" w:rsidRDefault="00F67536">
            <w:pPr>
              <w:keepLines/>
              <w:jc w:val="both"/>
              <w:rPr>
                <w:sz w:val="24"/>
                <w:szCs w:val="24"/>
              </w:rPr>
            </w:pPr>
          </w:p>
          <w:p w14:paraId="0EF53D0D" w14:textId="77777777" w:rsidR="00F67536" w:rsidRDefault="005B3510">
            <w:pPr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Sustainable Packaging: sourcing and efficient use of materials, reusability/recyc</w:t>
            </w:r>
            <w:r>
              <w:rPr>
                <w:sz w:val="24"/>
                <w:szCs w:val="24"/>
              </w:rPr>
              <w:t>lability, eco-design, life cycle</w:t>
            </w:r>
          </w:p>
          <w:p w14:paraId="7133E467" w14:textId="77777777" w:rsidR="00F67536" w:rsidRDefault="00F67536">
            <w:pPr>
              <w:keepLines/>
              <w:jc w:val="both"/>
              <w:rPr>
                <w:sz w:val="24"/>
                <w:szCs w:val="24"/>
              </w:rPr>
            </w:pPr>
          </w:p>
          <w:p w14:paraId="6ECE2499" w14:textId="77777777" w:rsidR="00F67536" w:rsidRDefault="005B3510">
            <w:pPr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Manufacturing technologies (energetic optimisation of production plants - optimisation of manufacturing processes, industry 4.0, lean manufacturing); Preventive maintenance</w:t>
            </w:r>
          </w:p>
          <w:p w14:paraId="755EF20C" w14:textId="77777777" w:rsidR="00F67536" w:rsidRDefault="005B3510">
            <w:pPr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Sustainable origin of raw material (Sustainable s</w:t>
            </w:r>
            <w:r>
              <w:rPr>
                <w:sz w:val="24"/>
                <w:szCs w:val="24"/>
              </w:rPr>
              <w:t>ourcing / efficient use of resources)</w:t>
            </w:r>
          </w:p>
          <w:p w14:paraId="5678A8EC" w14:textId="77777777" w:rsidR="00F67536" w:rsidRDefault="00F67536">
            <w:pPr>
              <w:spacing w:after="16"/>
              <w:jc w:val="both"/>
              <w:rPr>
                <w:sz w:val="24"/>
                <w:szCs w:val="24"/>
              </w:rPr>
            </w:pPr>
          </w:p>
        </w:tc>
      </w:tr>
      <w:tr w:rsidR="00F67536" w14:paraId="4A24CEAB" w14:textId="77777777" w:rsidTr="00E0228B">
        <w:tc>
          <w:tcPr>
            <w:tcW w:w="1950" w:type="dxa"/>
            <w:shd w:val="clear" w:color="auto" w:fill="auto"/>
            <w:vAlign w:val="center"/>
          </w:tcPr>
          <w:p w14:paraId="78C7CBB4" w14:textId="77777777" w:rsidR="00F67536" w:rsidRDefault="005B351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Essential knowledge</w:t>
            </w:r>
          </w:p>
        </w:tc>
        <w:tc>
          <w:tcPr>
            <w:tcW w:w="7110" w:type="dxa"/>
            <w:shd w:val="clear" w:color="auto" w:fill="auto"/>
          </w:tcPr>
          <w:p w14:paraId="23DEB167" w14:textId="1BB55010" w:rsidR="00F67536" w:rsidRDefault="005B3510">
            <w:pPr>
              <w:spacing w:after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Sustainability: Climate Change; </w:t>
            </w:r>
            <w:r w:rsidR="00E0228B">
              <w:rPr>
                <w:sz w:val="24"/>
                <w:szCs w:val="24"/>
              </w:rPr>
              <w:t>Greenhouse</w:t>
            </w:r>
            <w:r>
              <w:rPr>
                <w:sz w:val="24"/>
                <w:szCs w:val="24"/>
              </w:rPr>
              <w:t xml:space="preserve"> Gases -</w:t>
            </w:r>
            <w:r w:rsidR="00E022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GHG</w:t>
            </w:r>
            <w:r>
              <w:rPr>
                <w:sz w:val="24"/>
                <w:szCs w:val="24"/>
              </w:rPr>
              <w:t>s; Water management</w:t>
            </w:r>
          </w:p>
          <w:p w14:paraId="31487D62" w14:textId="77777777" w:rsidR="00F67536" w:rsidRDefault="005B3510">
            <w:pPr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Circular economy: Circular manufacturing / Industry 4.0 aspects; Sustainable packaging </w:t>
            </w:r>
          </w:p>
          <w:p w14:paraId="44FEDE96" w14:textId="77777777" w:rsidR="00F67536" w:rsidRDefault="005B3510">
            <w:pPr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Traceability &amp; Food Production; Fo</w:t>
            </w:r>
            <w:r>
              <w:rPr>
                <w:sz w:val="24"/>
                <w:szCs w:val="24"/>
              </w:rPr>
              <w:t>od waste reduction</w:t>
            </w:r>
          </w:p>
          <w:p w14:paraId="00ADED00" w14:textId="77777777" w:rsidR="00F67536" w:rsidRDefault="005B3510">
            <w:pPr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Improved agri-food production (energetic optimisation of production plants - optimisation of manufacturing processes); Logistics; Sustainable metrics (KPIs); Labelling</w:t>
            </w:r>
          </w:p>
          <w:p w14:paraId="2B69B793" w14:textId="77777777" w:rsidR="00F67536" w:rsidRDefault="005B35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Consumer Trends / Demands</w:t>
            </w:r>
          </w:p>
          <w:p w14:paraId="11B43A14" w14:textId="77777777" w:rsidR="00F67536" w:rsidRDefault="005B3510">
            <w:pPr>
              <w:spacing w:after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legal framework for industry; Environmental Licensing</w:t>
            </w:r>
          </w:p>
        </w:tc>
      </w:tr>
      <w:tr w:rsidR="00F67536" w14:paraId="5FA4189D" w14:textId="77777777" w:rsidTr="00E0228B">
        <w:tc>
          <w:tcPr>
            <w:tcW w:w="1950" w:type="dxa"/>
            <w:shd w:val="clear" w:color="auto" w:fill="auto"/>
            <w:vAlign w:val="center"/>
          </w:tcPr>
          <w:p w14:paraId="01195D90" w14:textId="77777777" w:rsidR="00F67536" w:rsidRDefault="005B351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Optional skills</w:t>
            </w:r>
          </w:p>
        </w:tc>
        <w:tc>
          <w:tcPr>
            <w:tcW w:w="7110" w:type="dxa"/>
            <w:shd w:val="clear" w:color="auto" w:fill="auto"/>
          </w:tcPr>
          <w:p w14:paraId="45271A9B" w14:textId="77777777" w:rsidR="00F67536" w:rsidRDefault="005B3510">
            <w:pPr>
              <w:spacing w:after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cycle assessment digital tools</w:t>
            </w:r>
          </w:p>
          <w:p w14:paraId="0834761E" w14:textId="77777777" w:rsidR="00F67536" w:rsidRDefault="005B35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 Management Systems</w:t>
            </w:r>
          </w:p>
        </w:tc>
      </w:tr>
      <w:tr w:rsidR="00F67536" w14:paraId="4CF8D7A9" w14:textId="77777777" w:rsidTr="00E0228B">
        <w:trPr>
          <w:trHeight w:val="783"/>
        </w:trPr>
        <w:tc>
          <w:tcPr>
            <w:tcW w:w="1950" w:type="dxa"/>
            <w:shd w:val="clear" w:color="auto" w:fill="auto"/>
            <w:vAlign w:val="center"/>
          </w:tcPr>
          <w:p w14:paraId="35513652" w14:textId="77777777" w:rsidR="00F67536" w:rsidRDefault="005B351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Optional knowledge</w:t>
            </w:r>
          </w:p>
        </w:tc>
        <w:tc>
          <w:tcPr>
            <w:tcW w:w="7110" w:type="dxa"/>
            <w:shd w:val="clear" w:color="auto" w:fill="auto"/>
          </w:tcPr>
          <w:p w14:paraId="079DC83A" w14:textId="77777777" w:rsidR="00F67536" w:rsidRDefault="005B35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Corporate Social Responsibility</w:t>
            </w:r>
          </w:p>
          <w:p w14:paraId="4B1703C7" w14:textId="77777777" w:rsidR="00F67536" w:rsidRDefault="005B35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Sustainable Value Chains</w:t>
            </w:r>
          </w:p>
        </w:tc>
      </w:tr>
      <w:tr w:rsidR="00F67536" w14:paraId="242F72D3" w14:textId="77777777" w:rsidTr="00E0228B">
        <w:tc>
          <w:tcPr>
            <w:tcW w:w="1950" w:type="dxa"/>
            <w:shd w:val="clear" w:color="auto" w:fill="auto"/>
            <w:vAlign w:val="center"/>
          </w:tcPr>
          <w:p w14:paraId="01765D98" w14:textId="77777777" w:rsidR="00F67536" w:rsidRDefault="005B351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State</w:t>
            </w:r>
          </w:p>
        </w:tc>
        <w:tc>
          <w:tcPr>
            <w:tcW w:w="7110" w:type="dxa"/>
            <w:shd w:val="clear" w:color="auto" w:fill="auto"/>
          </w:tcPr>
          <w:p w14:paraId="34F1329D" w14:textId="77777777" w:rsidR="00F67536" w:rsidRDefault="00F67536">
            <w:pPr>
              <w:spacing w:after="16"/>
              <w:jc w:val="both"/>
              <w:rPr>
                <w:b/>
                <w:sz w:val="28"/>
                <w:szCs w:val="28"/>
              </w:rPr>
            </w:pPr>
          </w:p>
        </w:tc>
      </w:tr>
      <w:tr w:rsidR="00F67536" w14:paraId="22C1DF12" w14:textId="77777777" w:rsidTr="00E0228B">
        <w:tc>
          <w:tcPr>
            <w:tcW w:w="1950" w:type="dxa"/>
            <w:shd w:val="clear" w:color="auto" w:fill="auto"/>
            <w:vAlign w:val="center"/>
          </w:tcPr>
          <w:p w14:paraId="4B54DA10" w14:textId="77777777" w:rsidR="00F67536" w:rsidRDefault="005B351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Concept URI</w:t>
            </w:r>
          </w:p>
        </w:tc>
        <w:tc>
          <w:tcPr>
            <w:tcW w:w="7110" w:type="dxa"/>
            <w:shd w:val="clear" w:color="auto" w:fill="auto"/>
          </w:tcPr>
          <w:p w14:paraId="113E6BFF" w14:textId="77777777" w:rsidR="00F67536" w:rsidRDefault="00F67536">
            <w:pPr>
              <w:spacing w:after="16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2976952" w14:textId="77777777" w:rsidR="00F67536" w:rsidRDefault="00F67536">
      <w:pPr>
        <w:spacing w:before="120" w:after="120"/>
        <w:ind w:left="1106" w:right="397" w:hanging="709"/>
        <w:jc w:val="both"/>
        <w:rPr>
          <w:sz w:val="24"/>
          <w:szCs w:val="24"/>
        </w:rPr>
      </w:pPr>
    </w:p>
    <w:p w14:paraId="05B00F9D" w14:textId="77777777" w:rsidR="00F67536" w:rsidRDefault="005B3510">
      <w:pPr>
        <w:rPr>
          <w:sz w:val="24"/>
          <w:szCs w:val="24"/>
        </w:rPr>
      </w:pPr>
      <w:r>
        <w:br w:type="page"/>
      </w:r>
    </w:p>
    <w:p w14:paraId="4E539C94" w14:textId="77777777" w:rsidR="00F67536" w:rsidRDefault="005B3510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Annex I</w:t>
      </w:r>
    </w:p>
    <w:p w14:paraId="78AAC07B" w14:textId="77777777" w:rsidR="00F67536" w:rsidRPr="00E0228B" w:rsidRDefault="005B3510">
      <w:pPr>
        <w:spacing w:after="16"/>
        <w:jc w:val="both"/>
        <w:rPr>
          <w:b/>
          <w:sz w:val="28"/>
          <w:szCs w:val="28"/>
        </w:rPr>
      </w:pPr>
      <w:r w:rsidRPr="00E0228B">
        <w:rPr>
          <w:b/>
          <w:sz w:val="28"/>
          <w:szCs w:val="28"/>
        </w:rPr>
        <w:t>Basic Module for each occupational profile.</w:t>
      </w:r>
    </w:p>
    <w:p w14:paraId="49A720B9" w14:textId="77777777" w:rsidR="00F67536" w:rsidRDefault="00F67536">
      <w:pPr>
        <w:spacing w:after="16"/>
        <w:jc w:val="both"/>
        <w:rPr>
          <w:b/>
          <w:sz w:val="28"/>
          <w:szCs w:val="28"/>
          <w:highlight w:val="yellow"/>
        </w:rPr>
      </w:pPr>
    </w:p>
    <w:tbl>
      <w:tblPr>
        <w:tblStyle w:val="a2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6885"/>
      </w:tblGrid>
      <w:tr w:rsidR="00F67536" w14:paraId="19611B7F" w14:textId="77777777">
        <w:tc>
          <w:tcPr>
            <w:tcW w:w="2175" w:type="dxa"/>
            <w:vAlign w:val="center"/>
          </w:tcPr>
          <w:p w14:paraId="2B9F44BB" w14:textId="77777777" w:rsidR="00F67536" w:rsidRDefault="005B3510">
            <w:pPr>
              <w:spacing w:after="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Units </w:t>
            </w:r>
          </w:p>
        </w:tc>
        <w:tc>
          <w:tcPr>
            <w:tcW w:w="6885" w:type="dxa"/>
          </w:tcPr>
          <w:p w14:paraId="181C8683" w14:textId="77777777" w:rsidR="00F67536" w:rsidRDefault="005B3510">
            <w:pPr>
              <w:spacing w:after="1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outcomes</w:t>
            </w:r>
          </w:p>
        </w:tc>
      </w:tr>
      <w:tr w:rsidR="00F67536" w14:paraId="0DA79ED4" w14:textId="77777777">
        <w:tc>
          <w:tcPr>
            <w:tcW w:w="2175" w:type="dxa"/>
            <w:vAlign w:val="center"/>
          </w:tcPr>
          <w:p w14:paraId="3D688AB0" w14:textId="77777777" w:rsidR="00F67536" w:rsidRDefault="005B3510">
            <w:pPr>
              <w:spacing w:after="1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Basic knowledge</w:t>
            </w:r>
          </w:p>
          <w:p w14:paraId="6E9D5A93" w14:textId="77777777" w:rsidR="00F67536" w:rsidRDefault="00F67536">
            <w:pPr>
              <w:spacing w:after="16"/>
              <w:rPr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25A8B509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Definitions (soft skills, food industry, sustainability, bioeconomy)</w:t>
            </w:r>
          </w:p>
          <w:p w14:paraId="5435E905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safety</w:t>
            </w:r>
          </w:p>
          <w:p w14:paraId="33393AFC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learning/tools</w:t>
            </w:r>
          </w:p>
          <w:p w14:paraId="3598AB0B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of economic and financial issues</w:t>
            </w:r>
          </w:p>
          <w:p w14:paraId="3CE68223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reading/un</w:t>
            </w:r>
            <w:r>
              <w:rPr>
                <w:sz w:val="24"/>
                <w:szCs w:val="24"/>
              </w:rPr>
              <w:t>derstanding</w:t>
            </w:r>
          </w:p>
          <w:p w14:paraId="721B5AF1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Business-/Entrepreneurship Skills in general</w:t>
            </w:r>
          </w:p>
          <w:p w14:paraId="1E7CD4C7" w14:textId="77777777" w:rsidR="00F67536" w:rsidRDefault="005B3510">
            <w:pPr>
              <w:numPr>
                <w:ilvl w:val="0"/>
                <w:numId w:val="2"/>
              </w:numPr>
              <w:spacing w:after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agri-food communities</w:t>
            </w:r>
          </w:p>
          <w:p w14:paraId="35FB8845" w14:textId="77777777" w:rsidR="00F67536" w:rsidRDefault="00F67536">
            <w:pPr>
              <w:spacing w:after="16"/>
              <w:jc w:val="both"/>
              <w:rPr>
                <w:b/>
                <w:sz w:val="24"/>
                <w:szCs w:val="24"/>
              </w:rPr>
            </w:pPr>
          </w:p>
        </w:tc>
      </w:tr>
      <w:tr w:rsidR="00F67536" w14:paraId="1F52EA07" w14:textId="77777777">
        <w:trPr>
          <w:trHeight w:val="3176"/>
        </w:trPr>
        <w:tc>
          <w:tcPr>
            <w:tcW w:w="2175" w:type="dxa"/>
            <w:vAlign w:val="center"/>
          </w:tcPr>
          <w:p w14:paraId="7284E3BC" w14:textId="77777777" w:rsidR="00F67536" w:rsidRDefault="005B3510">
            <w:pPr>
              <w:spacing w:after="1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planning/model</w:t>
            </w:r>
          </w:p>
          <w:p w14:paraId="6F219064" w14:textId="77777777" w:rsidR="00F67536" w:rsidRDefault="00F67536">
            <w:pPr>
              <w:spacing w:after="16"/>
              <w:rPr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75AD3826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Innovation management and its deployment</w:t>
            </w:r>
          </w:p>
          <w:p w14:paraId="114FF255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management</w:t>
            </w:r>
          </w:p>
          <w:p w14:paraId="43106957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making</w:t>
            </w:r>
          </w:p>
          <w:p w14:paraId="67A60CDD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management</w:t>
            </w:r>
          </w:p>
          <w:p w14:paraId="68486774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planning</w:t>
            </w:r>
          </w:p>
          <w:p w14:paraId="3CB5BFEE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 and Marketing</w:t>
            </w:r>
          </w:p>
          <w:p w14:paraId="2390F1CB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Cooperatives</w:t>
            </w:r>
          </w:p>
          <w:p w14:paraId="0A98B48B" w14:textId="77777777" w:rsidR="00F67536" w:rsidRDefault="005B3510">
            <w:pPr>
              <w:numPr>
                <w:ilvl w:val="0"/>
                <w:numId w:val="2"/>
              </w:numPr>
              <w:spacing w:after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Agri-food law, quality, safety and certification</w:t>
            </w:r>
          </w:p>
        </w:tc>
      </w:tr>
      <w:tr w:rsidR="00F67536" w14:paraId="4F6CED47" w14:textId="77777777">
        <w:trPr>
          <w:trHeight w:val="2025"/>
        </w:trPr>
        <w:tc>
          <w:tcPr>
            <w:tcW w:w="2175" w:type="dxa"/>
            <w:vAlign w:val="center"/>
          </w:tcPr>
          <w:p w14:paraId="4AE8C47E" w14:textId="77777777" w:rsidR="00F67536" w:rsidRDefault="005B3510">
            <w:pPr>
              <w:spacing w:after="1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&amp; Communication</w:t>
            </w:r>
          </w:p>
          <w:p w14:paraId="5EC6E738" w14:textId="77777777" w:rsidR="00F67536" w:rsidRDefault="00F67536">
            <w:pPr>
              <w:spacing w:after="16"/>
              <w:rPr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0FA13A32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speaking</w:t>
            </w:r>
          </w:p>
          <w:p w14:paraId="37424464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Negotiation and conflicts</w:t>
            </w:r>
          </w:p>
          <w:p w14:paraId="04467AF6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chain cooperation</w:t>
            </w:r>
          </w:p>
          <w:p w14:paraId="1EE7DF8C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working/networking</w:t>
            </w:r>
          </w:p>
          <w:p w14:paraId="4077CFD5" w14:textId="77777777" w:rsidR="00F67536" w:rsidRDefault="005B3510">
            <w:pPr>
              <w:numPr>
                <w:ilvl w:val="0"/>
                <w:numId w:val="2"/>
              </w:numPr>
              <w:spacing w:after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Reporting and briefing</w:t>
            </w:r>
          </w:p>
        </w:tc>
      </w:tr>
      <w:tr w:rsidR="00F67536" w14:paraId="4389333A" w14:textId="77777777">
        <w:trPr>
          <w:trHeight w:val="2424"/>
        </w:trPr>
        <w:tc>
          <w:tcPr>
            <w:tcW w:w="2175" w:type="dxa"/>
            <w:vAlign w:val="center"/>
          </w:tcPr>
          <w:p w14:paraId="20D7A0E6" w14:textId="77777777" w:rsidR="00F67536" w:rsidRDefault="005B3510">
            <w:pPr>
              <w:spacing w:after="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Thinking</w:t>
            </w:r>
          </w:p>
        </w:tc>
        <w:tc>
          <w:tcPr>
            <w:tcW w:w="6885" w:type="dxa"/>
          </w:tcPr>
          <w:p w14:paraId="0B4464CF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Organisation, planning, proactive, flexible, and strategic thinking</w:t>
            </w:r>
          </w:p>
          <w:p w14:paraId="59DC1717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solving</w:t>
            </w:r>
          </w:p>
          <w:p w14:paraId="6B6EA88A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Interdisciplinary knowledge</w:t>
            </w:r>
          </w:p>
          <w:p w14:paraId="0F44B883" w14:textId="77777777" w:rsidR="00F67536" w:rsidRDefault="005B3510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Continuously</w:t>
            </w:r>
          </w:p>
          <w:p w14:paraId="5A672F2A" w14:textId="77777777" w:rsidR="00F67536" w:rsidRDefault="005B3510">
            <w:pPr>
              <w:numPr>
                <w:ilvl w:val="0"/>
                <w:numId w:val="2"/>
              </w:numPr>
              <w:spacing w:after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Analytical, critical and creative thinking</w:t>
            </w:r>
          </w:p>
        </w:tc>
      </w:tr>
    </w:tbl>
    <w:p w14:paraId="017F112A" w14:textId="77777777" w:rsidR="00F67536" w:rsidRDefault="00F67536">
      <w:pPr>
        <w:spacing w:before="120" w:after="120"/>
        <w:ind w:left="1106" w:right="397" w:hanging="709"/>
        <w:jc w:val="both"/>
        <w:rPr>
          <w:sz w:val="24"/>
          <w:szCs w:val="24"/>
        </w:rPr>
      </w:pPr>
    </w:p>
    <w:sectPr w:rsidR="00F67536">
      <w:headerReference w:type="default" r:id="rId8"/>
      <w:pgSz w:w="11906" w:h="16838"/>
      <w:pgMar w:top="1417" w:right="1417" w:bottom="1417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BE81" w14:textId="77777777" w:rsidR="005B3510" w:rsidRDefault="005B3510">
      <w:pPr>
        <w:spacing w:after="0" w:line="240" w:lineRule="auto"/>
      </w:pPr>
      <w:r>
        <w:separator/>
      </w:r>
    </w:p>
  </w:endnote>
  <w:endnote w:type="continuationSeparator" w:id="0">
    <w:p w14:paraId="5E174FA7" w14:textId="77777777" w:rsidR="005B3510" w:rsidRDefault="005B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17D7" w14:textId="77777777" w:rsidR="005B3510" w:rsidRDefault="005B3510">
      <w:pPr>
        <w:spacing w:after="0" w:line="240" w:lineRule="auto"/>
      </w:pPr>
      <w:r>
        <w:separator/>
      </w:r>
    </w:p>
  </w:footnote>
  <w:footnote w:type="continuationSeparator" w:id="0">
    <w:p w14:paraId="1C69474D" w14:textId="77777777" w:rsidR="005B3510" w:rsidRDefault="005B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CE7B" w14:textId="77777777" w:rsidR="00F67536" w:rsidRDefault="005B35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>FIELDS</w:t>
    </w:r>
    <w:r>
      <w:rPr>
        <w:i/>
        <w:color w:val="000000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43B4A88" wp14:editId="51A72842">
          <wp:simplePos x="0" y="0"/>
          <wp:positionH relativeFrom="column">
            <wp:posOffset>5805805</wp:posOffset>
          </wp:positionH>
          <wp:positionV relativeFrom="paragraph">
            <wp:posOffset>-316863</wp:posOffset>
          </wp:positionV>
          <wp:extent cx="655320" cy="74295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1BB34DA" w14:textId="77777777" w:rsidR="00F67536" w:rsidRDefault="005B35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WP 2 Task 2.1: Analysis of skill gaps and new profiles creation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76C"/>
    <w:multiLevelType w:val="multilevel"/>
    <w:tmpl w:val="BC9649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85135C"/>
    <w:multiLevelType w:val="multilevel"/>
    <w:tmpl w:val="B38EBA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296418">
    <w:abstractNumId w:val="0"/>
  </w:num>
  <w:num w:numId="2" w16cid:durableId="152910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36"/>
    <w:rsid w:val="005B3510"/>
    <w:rsid w:val="00E0228B"/>
    <w:rsid w:val="00F6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D444"/>
  <w15:docId w15:val="{B7BEA3C0-B5A8-4EE1-B64D-A2B2B8DB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362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3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6A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1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E88"/>
  </w:style>
  <w:style w:type="paragraph" w:styleId="Pidipagina">
    <w:name w:val="footer"/>
    <w:basedOn w:val="Normale"/>
    <w:link w:val="PidipaginaCarattere"/>
    <w:uiPriority w:val="99"/>
    <w:unhideWhenUsed/>
    <w:rsid w:val="0031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E88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oDd9riOgcl90SzjGphU3zDBh2w==">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Tomao</dc:creator>
  <cp:lastModifiedBy>Francesca </cp:lastModifiedBy>
  <cp:revision>2</cp:revision>
  <dcterms:created xsi:type="dcterms:W3CDTF">2021-01-11T11:22:00Z</dcterms:created>
  <dcterms:modified xsi:type="dcterms:W3CDTF">2022-04-22T12:42:00Z</dcterms:modified>
</cp:coreProperties>
</file>